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0D7C6" w14:textId="58608EF8" w:rsidR="00747087" w:rsidRDefault="00747087" w:rsidP="00971002">
      <w:pPr>
        <w:spacing w:line="259" w:lineRule="auto"/>
        <w:rPr>
          <w:rFonts w:ascii="Arial" w:eastAsia="Calibri" w:hAnsi="Arial" w:cs="Arial"/>
          <w:b/>
          <w:bCs/>
          <w:color w:val="0F9ED5" w:themeColor="accent4"/>
          <w:sz w:val="48"/>
          <w:szCs w:val="48"/>
          <w:lang w:val="es-HN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27B86361" wp14:editId="09293F96">
            <wp:simplePos x="0" y="0"/>
            <wp:positionH relativeFrom="column">
              <wp:posOffset>-1165225</wp:posOffset>
            </wp:positionH>
            <wp:positionV relativeFrom="paragraph">
              <wp:posOffset>-956519</wp:posOffset>
            </wp:positionV>
            <wp:extent cx="7849755" cy="10735310"/>
            <wp:effectExtent l="0" t="0" r="0" b="0"/>
            <wp:wrapNone/>
            <wp:docPr id="1412864240" name="Imagen 9" descr="Niña sentada en el suel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864240" name="Imagen 9" descr="Niña sentada en el suel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alphaModFix amt="85000"/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9755" cy="1073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6243E" w14:textId="549EF0FF" w:rsidR="00747087" w:rsidRDefault="00747087" w:rsidP="00971002">
      <w:pPr>
        <w:spacing w:line="259" w:lineRule="auto"/>
        <w:rPr>
          <w:rFonts w:ascii="Arial" w:eastAsia="Calibri" w:hAnsi="Arial" w:cs="Arial"/>
          <w:b/>
          <w:bCs/>
          <w:color w:val="0F9ED5" w:themeColor="accent4"/>
          <w:sz w:val="48"/>
          <w:szCs w:val="48"/>
          <w:lang w:val="es-HN"/>
        </w:rPr>
      </w:pPr>
    </w:p>
    <w:p w14:paraId="3B26D46A" w14:textId="23B479BF" w:rsidR="00747087" w:rsidRDefault="00747087" w:rsidP="00971002">
      <w:pPr>
        <w:spacing w:line="259" w:lineRule="auto"/>
        <w:rPr>
          <w:rFonts w:ascii="Arial" w:eastAsia="Calibri" w:hAnsi="Arial" w:cs="Arial"/>
          <w:b/>
          <w:bCs/>
          <w:color w:val="0F9ED5" w:themeColor="accent4"/>
          <w:sz w:val="48"/>
          <w:szCs w:val="48"/>
          <w:lang w:val="es-HN"/>
        </w:rPr>
      </w:pPr>
    </w:p>
    <w:p w14:paraId="0044EA14" w14:textId="77777777" w:rsidR="00747087" w:rsidRDefault="00747087" w:rsidP="00971002">
      <w:pPr>
        <w:spacing w:line="259" w:lineRule="auto"/>
        <w:rPr>
          <w:rFonts w:ascii="Arial" w:eastAsia="Calibri" w:hAnsi="Arial" w:cs="Arial"/>
          <w:b/>
          <w:bCs/>
          <w:color w:val="0F9ED5" w:themeColor="accent4"/>
          <w:sz w:val="48"/>
          <w:szCs w:val="48"/>
          <w:lang w:val="es-HN"/>
        </w:rPr>
      </w:pPr>
    </w:p>
    <w:p w14:paraId="6F778218" w14:textId="77777777" w:rsidR="00747087" w:rsidRDefault="00747087" w:rsidP="00971002">
      <w:pPr>
        <w:spacing w:line="259" w:lineRule="auto"/>
        <w:rPr>
          <w:rFonts w:ascii="Arial" w:eastAsia="Calibri" w:hAnsi="Arial" w:cs="Arial"/>
          <w:b/>
          <w:bCs/>
          <w:color w:val="0F9ED5" w:themeColor="accent4"/>
          <w:sz w:val="48"/>
          <w:szCs w:val="48"/>
          <w:lang w:val="es-HN"/>
        </w:rPr>
      </w:pPr>
    </w:p>
    <w:p w14:paraId="083F4E51" w14:textId="77777777" w:rsidR="00747087" w:rsidRDefault="00747087" w:rsidP="00971002">
      <w:pPr>
        <w:spacing w:line="259" w:lineRule="auto"/>
        <w:rPr>
          <w:rFonts w:ascii="Arial" w:eastAsia="Calibri" w:hAnsi="Arial" w:cs="Arial"/>
          <w:b/>
          <w:bCs/>
          <w:color w:val="0F9ED5" w:themeColor="accent4"/>
          <w:sz w:val="48"/>
          <w:szCs w:val="48"/>
          <w:lang w:val="es-HN"/>
        </w:rPr>
      </w:pPr>
    </w:p>
    <w:p w14:paraId="0D5733AB" w14:textId="77777777" w:rsidR="00747087" w:rsidRDefault="00747087" w:rsidP="00971002">
      <w:pPr>
        <w:spacing w:line="259" w:lineRule="auto"/>
        <w:rPr>
          <w:rFonts w:ascii="Arial" w:eastAsia="Calibri" w:hAnsi="Arial" w:cs="Arial"/>
          <w:b/>
          <w:bCs/>
          <w:color w:val="0F9ED5" w:themeColor="accent4"/>
          <w:sz w:val="48"/>
          <w:szCs w:val="48"/>
          <w:lang w:val="es-HN"/>
        </w:rPr>
      </w:pPr>
    </w:p>
    <w:p w14:paraId="102C697F" w14:textId="77777777" w:rsidR="00747087" w:rsidRDefault="00747087" w:rsidP="00971002">
      <w:pPr>
        <w:spacing w:line="259" w:lineRule="auto"/>
        <w:rPr>
          <w:rFonts w:ascii="Arial" w:eastAsia="Calibri" w:hAnsi="Arial" w:cs="Arial"/>
          <w:b/>
          <w:bCs/>
          <w:color w:val="0F9ED5" w:themeColor="accent4"/>
          <w:sz w:val="48"/>
          <w:szCs w:val="48"/>
          <w:lang w:val="es-HN"/>
        </w:rPr>
      </w:pPr>
    </w:p>
    <w:p w14:paraId="7317F3E0" w14:textId="77777777" w:rsidR="00747087" w:rsidRDefault="00747087" w:rsidP="00971002">
      <w:pPr>
        <w:spacing w:line="259" w:lineRule="auto"/>
        <w:rPr>
          <w:rFonts w:ascii="Arial" w:eastAsia="Calibri" w:hAnsi="Arial" w:cs="Arial"/>
          <w:b/>
          <w:bCs/>
          <w:color w:val="0F9ED5" w:themeColor="accent4"/>
          <w:sz w:val="48"/>
          <w:szCs w:val="48"/>
          <w:lang w:val="es-HN"/>
        </w:rPr>
      </w:pPr>
    </w:p>
    <w:p w14:paraId="39AF46A4" w14:textId="77777777" w:rsidR="00747087" w:rsidRDefault="00747087" w:rsidP="00971002">
      <w:pPr>
        <w:spacing w:line="259" w:lineRule="auto"/>
        <w:rPr>
          <w:rFonts w:ascii="Arial" w:eastAsia="Calibri" w:hAnsi="Arial" w:cs="Arial"/>
          <w:b/>
          <w:bCs/>
          <w:color w:val="0F9ED5" w:themeColor="accent4"/>
          <w:sz w:val="48"/>
          <w:szCs w:val="48"/>
          <w:lang w:val="es-HN"/>
        </w:rPr>
      </w:pPr>
    </w:p>
    <w:p w14:paraId="72549C59" w14:textId="77777777" w:rsidR="00747087" w:rsidRDefault="00747087" w:rsidP="00971002">
      <w:pPr>
        <w:spacing w:line="259" w:lineRule="auto"/>
        <w:rPr>
          <w:rFonts w:ascii="Arial" w:eastAsia="Calibri" w:hAnsi="Arial" w:cs="Arial"/>
          <w:b/>
          <w:bCs/>
          <w:color w:val="0F9ED5" w:themeColor="accent4"/>
          <w:sz w:val="48"/>
          <w:szCs w:val="48"/>
          <w:lang w:val="es-HN"/>
        </w:rPr>
      </w:pPr>
    </w:p>
    <w:p w14:paraId="4B258A8E" w14:textId="6565DF17" w:rsidR="00971002" w:rsidRPr="00747087" w:rsidRDefault="00971002" w:rsidP="00747087">
      <w:pPr>
        <w:shd w:val="clear" w:color="auto" w:fill="A02B93" w:themeFill="accent5"/>
        <w:spacing w:line="259" w:lineRule="auto"/>
        <w:rPr>
          <w:rFonts w:ascii="Avenir Next Ultra Light" w:eastAsia="Calibri" w:hAnsi="Avenir Next Ultra Light" w:cs="Arial"/>
          <w:color w:val="FFFFFF" w:themeColor="background1"/>
          <w:sz w:val="48"/>
          <w:szCs w:val="48"/>
          <w:lang w:val="es-HN"/>
        </w:rPr>
      </w:pPr>
      <w:r w:rsidRPr="00747087">
        <w:rPr>
          <w:rFonts w:ascii="Avenir Next Ultra Light" w:eastAsia="Calibri" w:hAnsi="Avenir Next Ultra Light" w:cs="Arial"/>
          <w:color w:val="FFFFFF" w:themeColor="background1"/>
          <w:sz w:val="48"/>
          <w:szCs w:val="48"/>
          <w:lang w:val="es-HN"/>
        </w:rPr>
        <w:t xml:space="preserve">RESULTADOS RELEVANTES ACTUALES </w:t>
      </w:r>
    </w:p>
    <w:p w14:paraId="7A4145F8" w14:textId="77777777" w:rsidR="00971002" w:rsidRPr="00603C54" w:rsidRDefault="00971002" w:rsidP="00971002">
      <w:pPr>
        <w:spacing w:line="259" w:lineRule="auto"/>
        <w:jc w:val="both"/>
        <w:rPr>
          <w:rFonts w:ascii="Arial" w:eastAsia="Calibri" w:hAnsi="Arial" w:cs="Arial"/>
          <w:b/>
          <w:bCs/>
          <w:color w:val="404040"/>
          <w:sz w:val="56"/>
          <w:szCs w:val="56"/>
          <w:lang w:val="es-HN"/>
        </w:rPr>
      </w:pPr>
    </w:p>
    <w:p w14:paraId="352639E0" w14:textId="77777777" w:rsidR="00971002" w:rsidRPr="00747087" w:rsidRDefault="00971002" w:rsidP="00747087">
      <w:pPr>
        <w:shd w:val="clear" w:color="auto" w:fill="00B0F0"/>
        <w:spacing w:line="259" w:lineRule="auto"/>
        <w:jc w:val="both"/>
        <w:rPr>
          <w:rFonts w:ascii="Arial" w:eastAsia="Calibri" w:hAnsi="Arial" w:cs="Arial"/>
          <w:b/>
          <w:bCs/>
          <w:color w:val="FFFFFF" w:themeColor="background1"/>
          <w:sz w:val="48"/>
          <w:szCs w:val="48"/>
          <w:lang w:val="es-HN"/>
        </w:rPr>
      </w:pPr>
      <w:r w:rsidRPr="00747087">
        <w:rPr>
          <w:rFonts w:ascii="Arial" w:eastAsia="Calibri" w:hAnsi="Arial" w:cs="Arial"/>
          <w:b/>
          <w:bCs/>
          <w:color w:val="FFFFFF" w:themeColor="background1"/>
          <w:sz w:val="48"/>
          <w:szCs w:val="48"/>
          <w:lang w:val="es-HN"/>
        </w:rPr>
        <w:t>MODELO DE ATENCIÓN INTEGRAL A LA PRIMERA INFANCIA</w:t>
      </w:r>
    </w:p>
    <w:p w14:paraId="168706BE" w14:textId="77777777" w:rsidR="00971002" w:rsidRDefault="00971002" w:rsidP="00971002">
      <w:pPr>
        <w:rPr>
          <w:lang w:val="es-HN"/>
        </w:rPr>
      </w:pPr>
    </w:p>
    <w:p w14:paraId="17F64FBD" w14:textId="77777777" w:rsidR="00971002" w:rsidRDefault="00971002" w:rsidP="00971002">
      <w:pPr>
        <w:rPr>
          <w:lang w:val="es-HN"/>
        </w:rPr>
      </w:pPr>
    </w:p>
    <w:p w14:paraId="04011A93" w14:textId="77777777" w:rsidR="004D2F80" w:rsidRDefault="00971002" w:rsidP="004D2F80">
      <w:pPr>
        <w:keepNext/>
        <w:keepLines/>
        <w:spacing w:before="240" w:after="0" w:line="259" w:lineRule="auto"/>
        <w:jc w:val="both"/>
        <w:outlineLvl w:val="0"/>
        <w:rPr>
          <w:rFonts w:ascii="Avenir Next LT Pro Light" w:eastAsia="Yu Gothic Light" w:hAnsi="Avenir Next LT Pro Light" w:cs="Times New Roman"/>
          <w:b/>
          <w:color w:val="1DAAE2"/>
          <w:szCs w:val="32"/>
          <w:lang w:val="es-HN"/>
        </w:rPr>
      </w:pPr>
      <w:bookmarkStart w:id="0" w:name="_Toc203118794"/>
      <w:r w:rsidRPr="00971002">
        <w:rPr>
          <w:rFonts w:ascii="Avenir Next LT Pro Light" w:eastAsia="Yu Gothic Light" w:hAnsi="Avenir Next LT Pro Light" w:cs="Times New Roman"/>
          <w:b/>
          <w:color w:val="1DAAE2"/>
          <w:szCs w:val="32"/>
          <w:lang w:val="es-HN"/>
        </w:rPr>
        <w:lastRenderedPageBreak/>
        <w:t>RESULTADOS OBTENIDOS HASTA AHORA</w:t>
      </w:r>
      <w:bookmarkEnd w:id="0"/>
      <w:r w:rsidRPr="00971002">
        <w:rPr>
          <w:rFonts w:ascii="Avenir Next LT Pro Light" w:eastAsia="Yu Gothic Light" w:hAnsi="Avenir Next LT Pro Light" w:cs="Times New Roman"/>
          <w:b/>
          <w:color w:val="1DAAE2"/>
          <w:szCs w:val="32"/>
          <w:lang w:val="es-HN"/>
        </w:rPr>
        <w:t xml:space="preserve"> </w:t>
      </w:r>
    </w:p>
    <w:p w14:paraId="0BA6AF5F" w14:textId="22816AF1" w:rsidR="00971002" w:rsidRPr="004D2F80" w:rsidRDefault="00971002" w:rsidP="004D2F80">
      <w:pPr>
        <w:keepNext/>
        <w:keepLines/>
        <w:spacing w:before="240" w:after="0" w:line="259" w:lineRule="auto"/>
        <w:jc w:val="both"/>
        <w:outlineLvl w:val="0"/>
        <w:rPr>
          <w:rFonts w:ascii="Avenir Next LT Pro Light" w:eastAsia="Yu Gothic Light" w:hAnsi="Avenir Next LT Pro Light" w:cs="Times New Roman"/>
          <w:b/>
          <w:color w:val="1DAAE2"/>
          <w:szCs w:val="32"/>
          <w:lang w:val="es-HN"/>
        </w:rPr>
      </w:pPr>
      <w:r w:rsidRPr="002A4850">
        <w:rPr>
          <w:rFonts w:ascii="Arial" w:eastAsia="Calibri" w:hAnsi="Arial" w:cs="Arial"/>
          <w:color w:val="404040"/>
          <w:lang w:val="es-HN"/>
        </w:rPr>
        <w:t>La evaluación del Sistema Criando con Amor (SCcA), realizada entre 2019 y 2020, tuvo como propósito valorar los avances, resultados y aprendizajes derivados de la implementación del modelo</w:t>
      </w:r>
      <w:r w:rsidR="004D2F80">
        <w:rPr>
          <w:rStyle w:val="Refdenotaalpie"/>
          <w:rFonts w:ascii="Arial" w:eastAsia="Calibri" w:hAnsi="Arial" w:cs="Arial"/>
          <w:color w:val="404040"/>
          <w:lang w:val="es-HN"/>
        </w:rPr>
        <w:footnoteReference w:id="1"/>
      </w:r>
      <w:r w:rsidRPr="002A4850">
        <w:rPr>
          <w:rFonts w:ascii="Arial" w:eastAsia="Calibri" w:hAnsi="Arial" w:cs="Arial"/>
          <w:color w:val="404040"/>
          <w:lang w:val="es-HN"/>
        </w:rPr>
        <w:t xml:space="preserve"> en ocho municipios priorizados por UNICEF, así como en municipios adicionales donde el Gobierno extendió las acciones con sus propios recursos. La evaluación, de carácter formativa y basada en métodos mixtos, analizó la pertinencia, eficacia, eficiencia, sostenibilidad y enfoques transversales del modelo.</w:t>
      </w:r>
    </w:p>
    <w:p w14:paraId="13A59E22" w14:textId="3104A781" w:rsidR="00B745B0" w:rsidRPr="00B745B0" w:rsidRDefault="00B745B0" w:rsidP="00B745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s-US" w:eastAsia="es-MX"/>
          <w14:ligatures w14:val="none"/>
        </w:rPr>
      </w:pP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1202"/>
        <w:gridCol w:w="3536"/>
        <w:gridCol w:w="4090"/>
      </w:tblGrid>
      <w:tr w:rsidR="00B745B0" w:rsidRPr="00B745B0" w14:paraId="4C9CE69F" w14:textId="77777777" w:rsidTr="00B80E50">
        <w:tc>
          <w:tcPr>
            <w:tcW w:w="0" w:type="auto"/>
            <w:hideMark/>
          </w:tcPr>
          <w:p w14:paraId="53B04442" w14:textId="77777777" w:rsidR="00B745B0" w:rsidRPr="00B745B0" w:rsidRDefault="00B745B0" w:rsidP="00B745B0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</w:pPr>
            <w:r w:rsidRPr="00B745B0"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  <w:t>Año / Fuente</w:t>
            </w:r>
          </w:p>
        </w:tc>
        <w:tc>
          <w:tcPr>
            <w:tcW w:w="0" w:type="auto"/>
            <w:hideMark/>
          </w:tcPr>
          <w:p w14:paraId="2C3783E0" w14:textId="77777777" w:rsidR="00B745B0" w:rsidRPr="00B745B0" w:rsidRDefault="00B745B0" w:rsidP="00B745B0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</w:pPr>
            <w:r w:rsidRPr="00B745B0"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  <w:t>Cobertura y Alcance</w:t>
            </w:r>
          </w:p>
        </w:tc>
        <w:tc>
          <w:tcPr>
            <w:tcW w:w="0" w:type="auto"/>
            <w:hideMark/>
          </w:tcPr>
          <w:p w14:paraId="68CAF16E" w14:textId="77777777" w:rsidR="00B745B0" w:rsidRPr="00B745B0" w:rsidRDefault="00B745B0" w:rsidP="00B745B0">
            <w:pPr>
              <w:spacing w:before="100" w:beforeAutospacing="1" w:after="100" w:afterAutospacing="1"/>
              <w:jc w:val="center"/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</w:pPr>
            <w:r w:rsidRPr="00B745B0"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  <w:t>Detalle</w:t>
            </w:r>
          </w:p>
        </w:tc>
      </w:tr>
      <w:tr w:rsidR="00B745B0" w:rsidRPr="00B745B0" w14:paraId="15D4DAE2" w14:textId="77777777" w:rsidTr="00B80E50">
        <w:tc>
          <w:tcPr>
            <w:tcW w:w="0" w:type="auto"/>
            <w:hideMark/>
          </w:tcPr>
          <w:p w14:paraId="3A483D8D" w14:textId="77777777" w:rsidR="00B745B0" w:rsidRPr="00B745B0" w:rsidRDefault="00B745B0" w:rsidP="00B745B0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</w:pPr>
            <w:r w:rsidRPr="00B745B0"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  <w:t>2016–2018 (SEDIS)</w:t>
            </w:r>
          </w:p>
        </w:tc>
        <w:tc>
          <w:tcPr>
            <w:tcW w:w="0" w:type="auto"/>
            <w:hideMark/>
          </w:tcPr>
          <w:p w14:paraId="006E1142" w14:textId="77777777" w:rsidR="00B745B0" w:rsidRPr="00B745B0" w:rsidRDefault="00B745B0" w:rsidP="00B745B0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</w:pPr>
            <w:r w:rsidRPr="00B745B0"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  <w:t>131 municipios (44% del país)</w:t>
            </w:r>
          </w:p>
        </w:tc>
        <w:tc>
          <w:tcPr>
            <w:tcW w:w="0" w:type="auto"/>
            <w:hideMark/>
          </w:tcPr>
          <w:p w14:paraId="1998CBF3" w14:textId="77777777" w:rsidR="00B745B0" w:rsidRPr="00B745B0" w:rsidRDefault="00B745B0" w:rsidP="00B745B0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</w:pPr>
            <w:r w:rsidRPr="00B745B0"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  <w:t xml:space="preserve">Expansión del </w:t>
            </w:r>
            <w:proofErr w:type="spellStart"/>
            <w:r w:rsidRPr="00B745B0"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  <w:t>SCcA</w:t>
            </w:r>
            <w:proofErr w:type="spellEnd"/>
            <w:r w:rsidRPr="00B745B0"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  <w:t xml:space="preserve"> en Lempira, Intibucá, La Paz, Santa Bárbara, Copán y Ocotepeque .</w:t>
            </w:r>
          </w:p>
        </w:tc>
      </w:tr>
      <w:tr w:rsidR="00B745B0" w:rsidRPr="00B745B0" w14:paraId="3D1B3E34" w14:textId="77777777" w:rsidTr="00B80E50">
        <w:tc>
          <w:tcPr>
            <w:tcW w:w="0" w:type="auto"/>
            <w:hideMark/>
          </w:tcPr>
          <w:p w14:paraId="21DDD886" w14:textId="77777777" w:rsidR="00B745B0" w:rsidRPr="00B745B0" w:rsidRDefault="00B745B0" w:rsidP="00B745B0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</w:pPr>
            <w:r w:rsidRPr="00B745B0"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  <w:t>UNICEF (2016–2017)</w:t>
            </w:r>
          </w:p>
        </w:tc>
        <w:tc>
          <w:tcPr>
            <w:tcW w:w="0" w:type="auto"/>
            <w:hideMark/>
          </w:tcPr>
          <w:p w14:paraId="56C8424A" w14:textId="77777777" w:rsidR="00B745B0" w:rsidRPr="00B745B0" w:rsidRDefault="00B745B0" w:rsidP="00B745B0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</w:pPr>
            <w:r w:rsidRPr="00B745B0"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  <w:t>8 municipios en dos mancomunidades (</w:t>
            </w:r>
            <w:proofErr w:type="spellStart"/>
            <w:r w:rsidRPr="00B745B0"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  <w:t>Colosuca</w:t>
            </w:r>
            <w:proofErr w:type="spellEnd"/>
            <w:r w:rsidRPr="00B745B0"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  <w:t xml:space="preserve"> y Lenca </w:t>
            </w:r>
            <w:proofErr w:type="spellStart"/>
            <w:r w:rsidRPr="00B745B0"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  <w:t>Eramaní</w:t>
            </w:r>
            <w:proofErr w:type="spellEnd"/>
            <w:r w:rsidRPr="00B745B0"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  <w:t>)</w:t>
            </w:r>
          </w:p>
        </w:tc>
        <w:tc>
          <w:tcPr>
            <w:tcW w:w="0" w:type="auto"/>
            <w:hideMark/>
          </w:tcPr>
          <w:p w14:paraId="5BA3FC84" w14:textId="77777777" w:rsidR="00B745B0" w:rsidRPr="00B745B0" w:rsidRDefault="00B745B0" w:rsidP="00B745B0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</w:pPr>
            <w:r w:rsidRPr="00B745B0"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  <w:t xml:space="preserve">Gracias, Belén, San Manuel </w:t>
            </w:r>
            <w:proofErr w:type="spellStart"/>
            <w:r w:rsidRPr="00B745B0"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  <w:t>Colohete</w:t>
            </w:r>
            <w:proofErr w:type="spellEnd"/>
            <w:r w:rsidRPr="00B745B0"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  <w:t xml:space="preserve">, San Sebastián, San Marcos de </w:t>
            </w:r>
            <w:proofErr w:type="spellStart"/>
            <w:r w:rsidRPr="00B745B0"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  <w:t>Caiquín</w:t>
            </w:r>
            <w:proofErr w:type="spellEnd"/>
            <w:r w:rsidRPr="00B745B0"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  <w:t>, La Campa, La Esperanza e Intibucá .</w:t>
            </w:r>
          </w:p>
        </w:tc>
      </w:tr>
      <w:tr w:rsidR="00B745B0" w:rsidRPr="00B745B0" w14:paraId="45699C3D" w14:textId="77777777" w:rsidTr="00B80E50">
        <w:tc>
          <w:tcPr>
            <w:tcW w:w="0" w:type="auto"/>
            <w:hideMark/>
          </w:tcPr>
          <w:p w14:paraId="592E1A18" w14:textId="77777777" w:rsidR="00B745B0" w:rsidRPr="00B745B0" w:rsidRDefault="00B745B0" w:rsidP="00B745B0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</w:pPr>
            <w:r w:rsidRPr="00B745B0"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  <w:t>UNICEF – Reporte 2017</w:t>
            </w:r>
          </w:p>
        </w:tc>
        <w:tc>
          <w:tcPr>
            <w:tcW w:w="0" w:type="auto"/>
            <w:hideMark/>
          </w:tcPr>
          <w:p w14:paraId="58ABF651" w14:textId="77777777" w:rsidR="00B745B0" w:rsidRPr="00B745B0" w:rsidRDefault="00B745B0" w:rsidP="00B745B0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</w:pPr>
            <w:r w:rsidRPr="00B745B0"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  <w:t>9,219 familias capacitadas en estimulación temprana, nutrición e identificación de enfermedades</w:t>
            </w:r>
          </w:p>
        </w:tc>
        <w:tc>
          <w:tcPr>
            <w:tcW w:w="0" w:type="auto"/>
            <w:hideMark/>
          </w:tcPr>
          <w:p w14:paraId="581554F8" w14:textId="77777777" w:rsidR="00B745B0" w:rsidRPr="00B745B0" w:rsidRDefault="00B745B0" w:rsidP="00B745B0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</w:pPr>
            <w:r w:rsidRPr="00B745B0"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  <w:t>De un total de 14,716 familias en Intibucá y Lempira. Además, 4,993 familias en La Paz mediante estructuras municipales .</w:t>
            </w:r>
          </w:p>
        </w:tc>
      </w:tr>
      <w:tr w:rsidR="00B745B0" w:rsidRPr="00B745B0" w14:paraId="22D16ED2" w14:textId="77777777" w:rsidTr="00B80E50">
        <w:tc>
          <w:tcPr>
            <w:tcW w:w="0" w:type="auto"/>
            <w:hideMark/>
          </w:tcPr>
          <w:p w14:paraId="7F9BAA72" w14:textId="77777777" w:rsidR="00B745B0" w:rsidRPr="00B745B0" w:rsidRDefault="00B745B0" w:rsidP="00B745B0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</w:pPr>
            <w:r w:rsidRPr="00B745B0"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  <w:t>UNICEF – Reporte 2018</w:t>
            </w:r>
          </w:p>
        </w:tc>
        <w:tc>
          <w:tcPr>
            <w:tcW w:w="0" w:type="auto"/>
            <w:hideMark/>
          </w:tcPr>
          <w:p w14:paraId="11E6D2E6" w14:textId="77777777" w:rsidR="00B745B0" w:rsidRPr="00B745B0" w:rsidRDefault="00B745B0" w:rsidP="00B745B0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</w:pPr>
            <w:r w:rsidRPr="00B745B0"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  <w:t>13,570 padres/cuidadores participaron en acciones de desarrollo de competencias parentales</w:t>
            </w:r>
          </w:p>
        </w:tc>
        <w:tc>
          <w:tcPr>
            <w:tcW w:w="0" w:type="auto"/>
            <w:hideMark/>
          </w:tcPr>
          <w:p w14:paraId="5F358237" w14:textId="77777777" w:rsidR="00B745B0" w:rsidRPr="00B745B0" w:rsidRDefault="00B745B0" w:rsidP="00B745B0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</w:pPr>
            <w:r w:rsidRPr="00B745B0"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  <w:t>En Intibucá y Lempira .</w:t>
            </w:r>
          </w:p>
        </w:tc>
      </w:tr>
      <w:tr w:rsidR="00B745B0" w:rsidRPr="00B745B0" w14:paraId="1D892CF2" w14:textId="77777777" w:rsidTr="00B80E50">
        <w:tc>
          <w:tcPr>
            <w:tcW w:w="0" w:type="auto"/>
            <w:hideMark/>
          </w:tcPr>
          <w:p w14:paraId="579524E9" w14:textId="77777777" w:rsidR="00B745B0" w:rsidRPr="00B745B0" w:rsidRDefault="00B745B0" w:rsidP="00B745B0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</w:pPr>
            <w:r w:rsidRPr="00B745B0"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  <w:t>UNICEF – Reporte 2019</w:t>
            </w:r>
          </w:p>
        </w:tc>
        <w:tc>
          <w:tcPr>
            <w:tcW w:w="0" w:type="auto"/>
            <w:hideMark/>
          </w:tcPr>
          <w:p w14:paraId="0FB5E872" w14:textId="77777777" w:rsidR="00B745B0" w:rsidRPr="00B745B0" w:rsidRDefault="00B745B0" w:rsidP="00B745B0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</w:pPr>
            <w:r w:rsidRPr="00B745B0"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  <w:t>2,146 familias en 39 municipios</w:t>
            </w:r>
          </w:p>
        </w:tc>
        <w:tc>
          <w:tcPr>
            <w:tcW w:w="0" w:type="auto"/>
            <w:hideMark/>
          </w:tcPr>
          <w:p w14:paraId="50A3232C" w14:textId="77777777" w:rsidR="00B745B0" w:rsidRPr="00B745B0" w:rsidRDefault="00B745B0" w:rsidP="00B745B0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</w:pPr>
            <w:r w:rsidRPr="00B745B0">
              <w:rPr>
                <w:rFonts w:ascii="Arial Narrow" w:eastAsia="Times New Roman" w:hAnsi="Arial Narrow" w:cs="Times New Roman"/>
                <w:kern w:val="0"/>
                <w:sz w:val="18"/>
                <w:szCs w:val="18"/>
                <w:lang w:val="es-US" w:eastAsia="es-MX"/>
                <w14:ligatures w14:val="none"/>
              </w:rPr>
              <w:t>Participaron en procesos de entrenamiento para la erradicación del castigo físico y humillante (duración 3 meses) .</w:t>
            </w:r>
          </w:p>
        </w:tc>
      </w:tr>
    </w:tbl>
    <w:p w14:paraId="29E6EC80" w14:textId="77777777" w:rsidR="00D700E3" w:rsidRDefault="00D700E3" w:rsidP="00971002">
      <w:pPr>
        <w:spacing w:line="259" w:lineRule="auto"/>
        <w:jc w:val="both"/>
        <w:rPr>
          <w:rFonts w:ascii="Arial" w:eastAsia="Calibri" w:hAnsi="Arial" w:cs="Arial"/>
          <w:color w:val="404040"/>
          <w:lang w:val="es-HN"/>
        </w:rPr>
      </w:pPr>
    </w:p>
    <w:p w14:paraId="14A295DF" w14:textId="4E8D9DAE" w:rsidR="00971002" w:rsidRPr="002A4850" w:rsidRDefault="00971002" w:rsidP="00971002">
      <w:pPr>
        <w:spacing w:line="259" w:lineRule="auto"/>
        <w:jc w:val="both"/>
        <w:rPr>
          <w:rFonts w:ascii="Arial" w:eastAsia="Calibri" w:hAnsi="Arial" w:cs="Arial"/>
          <w:color w:val="404040"/>
          <w:lang w:val="es-HN"/>
        </w:rPr>
      </w:pPr>
      <w:r w:rsidRPr="002A4850">
        <w:rPr>
          <w:rFonts w:ascii="Arial" w:eastAsia="Calibri" w:hAnsi="Arial" w:cs="Arial"/>
          <w:color w:val="404040"/>
          <w:lang w:val="es-HN"/>
        </w:rPr>
        <w:t>El análisis partió de reconocer que muchas de las estrategias planteadas en el actual modelo no son nuevas: han sido concebidas, adaptadas e implementadas previamente bajo el marco del SCcA, logrando instalar capacidades institucionales, comunitarias y familiares para la atención integral de la primera infancia. La evaluación, por tanto, permitió validar que las líneas estratégicas del modelo son pertinentes, generan cambios medibles en las familias y niños beneficiarios y fortalecen los sistemas locales e institucionales, aunque también evidenció áreas críticas a mejorar.</w:t>
      </w:r>
    </w:p>
    <w:p w14:paraId="3C5C54FE" w14:textId="12D1603A" w:rsidR="00971002" w:rsidRPr="002A4850" w:rsidRDefault="00971002" w:rsidP="00971002">
      <w:pPr>
        <w:spacing w:line="259" w:lineRule="auto"/>
        <w:jc w:val="both"/>
        <w:rPr>
          <w:rFonts w:ascii="Arial" w:eastAsia="Calibri" w:hAnsi="Arial" w:cs="Arial"/>
          <w:color w:val="404040"/>
          <w:lang w:val="es-HN"/>
        </w:rPr>
      </w:pPr>
      <w:r w:rsidRPr="0ABC8E13">
        <w:rPr>
          <w:rFonts w:ascii="Arial" w:eastAsia="Calibri" w:hAnsi="Arial" w:cs="Arial"/>
          <w:color w:val="404040" w:themeColor="text1" w:themeTint="BF"/>
          <w:lang w:val="es-HN"/>
        </w:rPr>
        <w:t>A continuación</w:t>
      </w:r>
      <w:r w:rsidR="532D480F" w:rsidRPr="0ABC8E13">
        <w:rPr>
          <w:rFonts w:ascii="Arial" w:eastAsia="Calibri" w:hAnsi="Arial" w:cs="Arial"/>
          <w:color w:val="404040" w:themeColor="text1" w:themeTint="BF"/>
          <w:lang w:val="es-HN"/>
        </w:rPr>
        <w:t>,</w:t>
      </w:r>
      <w:r w:rsidRPr="0ABC8E13">
        <w:rPr>
          <w:rFonts w:ascii="Arial" w:eastAsia="Calibri" w:hAnsi="Arial" w:cs="Arial"/>
          <w:color w:val="404040" w:themeColor="text1" w:themeTint="BF"/>
          <w:lang w:val="es-HN"/>
        </w:rPr>
        <w:t xml:space="preserve"> se presentan los resultados principales del modelo, organizados según las tres componentes del definidos en su diseño. </w:t>
      </w:r>
    </w:p>
    <w:p w14:paraId="3D356AF7" w14:textId="77777777" w:rsidR="00971002" w:rsidRPr="002A4850" w:rsidRDefault="00971002" w:rsidP="00971002">
      <w:pPr>
        <w:keepNext/>
        <w:keepLines/>
        <w:numPr>
          <w:ilvl w:val="1"/>
          <w:numId w:val="0"/>
        </w:numPr>
        <w:spacing w:before="40" w:after="0" w:line="259" w:lineRule="auto"/>
        <w:ind w:left="720"/>
        <w:jc w:val="both"/>
        <w:outlineLvl w:val="1"/>
        <w:rPr>
          <w:rFonts w:ascii="Calibri" w:eastAsia="Yu Gothic Light" w:hAnsi="Calibri" w:cs="Times New Roman"/>
          <w:b/>
          <w:color w:val="002060"/>
          <w:lang w:val="es-HN"/>
        </w:rPr>
      </w:pPr>
      <w:r w:rsidRPr="002A4850">
        <w:rPr>
          <w:rFonts w:ascii="Calibri" w:eastAsia="Yu Gothic Light" w:hAnsi="Calibri" w:cs="Times New Roman"/>
          <w:b/>
          <w:color w:val="002060"/>
          <w:lang w:val="es-HN"/>
        </w:rPr>
        <w:lastRenderedPageBreak/>
        <w:t xml:space="preserve"> </w:t>
      </w:r>
      <w:bookmarkStart w:id="1" w:name="_Toc203118795"/>
      <w:r w:rsidRPr="002A4850">
        <w:rPr>
          <w:rFonts w:ascii="Calibri" w:eastAsia="Yu Gothic Light" w:hAnsi="Calibri" w:cs="Times New Roman"/>
          <w:b/>
          <w:color w:val="002060"/>
          <w:lang w:val="es-HN"/>
        </w:rPr>
        <w:t>Generación de entornos familiares protectores y de crianza saludable</w:t>
      </w:r>
      <w:bookmarkEnd w:id="1"/>
    </w:p>
    <w:p w14:paraId="0AE63DD0" w14:textId="77777777" w:rsidR="00245C7B" w:rsidRDefault="00245C7B" w:rsidP="00971002">
      <w:pPr>
        <w:spacing w:line="259" w:lineRule="auto"/>
        <w:jc w:val="both"/>
        <w:rPr>
          <w:rFonts w:ascii="Arial" w:eastAsia="Calibri" w:hAnsi="Arial" w:cs="Arial"/>
          <w:color w:val="404040"/>
          <w:lang w:val="es-HN"/>
        </w:rPr>
      </w:pPr>
    </w:p>
    <w:p w14:paraId="78290B3B" w14:textId="1E645A3B" w:rsidR="00971002" w:rsidRPr="002A4850" w:rsidRDefault="00971002" w:rsidP="00971002">
      <w:pPr>
        <w:spacing w:line="259" w:lineRule="auto"/>
        <w:jc w:val="both"/>
        <w:rPr>
          <w:rFonts w:ascii="Arial" w:eastAsia="Calibri" w:hAnsi="Arial" w:cs="Arial"/>
          <w:color w:val="404040"/>
          <w:lang w:val="es-HN"/>
        </w:rPr>
      </w:pPr>
      <w:r w:rsidRPr="002A4850">
        <w:rPr>
          <w:rFonts w:ascii="Arial" w:eastAsia="Calibri" w:hAnsi="Arial" w:cs="Arial"/>
          <w:color w:val="404040"/>
          <w:lang w:val="es-HN"/>
        </w:rPr>
        <w:t>El modelo ha logrado avances importantes en la transformación de prácticas parentales y comunitarias:</w:t>
      </w:r>
    </w:p>
    <w:p w14:paraId="59A0E1A6" w14:textId="77777777" w:rsidR="00971002" w:rsidRPr="002A4850" w:rsidRDefault="00971002" w:rsidP="00971002">
      <w:pPr>
        <w:numPr>
          <w:ilvl w:val="0"/>
          <w:numId w:val="1"/>
        </w:numPr>
        <w:spacing w:line="259" w:lineRule="auto"/>
        <w:contextualSpacing/>
        <w:jc w:val="both"/>
        <w:rPr>
          <w:rFonts w:ascii="Arial" w:eastAsia="Calibri" w:hAnsi="Arial" w:cs="Arial"/>
          <w:color w:val="404040"/>
          <w:lang w:val="es-HN"/>
        </w:rPr>
      </w:pPr>
      <w:r w:rsidRPr="002A4850">
        <w:rPr>
          <w:rFonts w:ascii="Arial" w:eastAsia="Calibri" w:hAnsi="Arial" w:cs="Arial"/>
          <w:color w:val="404040"/>
          <w:lang w:val="es-HN"/>
        </w:rPr>
        <w:t>Se consolidaron procesos de formación y acompañamiento familiar, con una alta aceptación de las Guías Catrachitos y otros materiales adaptados culturalmente, que contribuyeron a mejorar las competencias parentales y a reducir la aceptación social del castigo físico y trato humillante.</w:t>
      </w:r>
    </w:p>
    <w:p w14:paraId="0BFD89E1" w14:textId="77777777" w:rsidR="00971002" w:rsidRPr="002A4850" w:rsidRDefault="00971002" w:rsidP="00971002">
      <w:pPr>
        <w:numPr>
          <w:ilvl w:val="0"/>
          <w:numId w:val="1"/>
        </w:numPr>
        <w:spacing w:line="259" w:lineRule="auto"/>
        <w:contextualSpacing/>
        <w:jc w:val="both"/>
        <w:rPr>
          <w:rFonts w:ascii="Arial" w:eastAsia="Calibri" w:hAnsi="Arial" w:cs="Arial"/>
          <w:color w:val="404040"/>
          <w:lang w:val="es-HN"/>
        </w:rPr>
      </w:pPr>
      <w:r w:rsidRPr="002A4850">
        <w:rPr>
          <w:rFonts w:ascii="Arial" w:eastAsia="Calibri" w:hAnsi="Arial" w:cs="Arial"/>
          <w:color w:val="404040"/>
          <w:lang w:val="es-HN"/>
        </w:rPr>
        <w:t>Los cuidadores reconocen mejoras en el afecto, comunicación y estimulación de los niños y niñas, promoviendo un desarrollo socioemocional más equilibrado.</w:t>
      </w:r>
    </w:p>
    <w:p w14:paraId="189F37C9" w14:textId="77777777" w:rsidR="00971002" w:rsidRPr="002A4850" w:rsidRDefault="00971002" w:rsidP="00971002">
      <w:pPr>
        <w:numPr>
          <w:ilvl w:val="0"/>
          <w:numId w:val="1"/>
        </w:numPr>
        <w:spacing w:line="259" w:lineRule="auto"/>
        <w:contextualSpacing/>
        <w:jc w:val="both"/>
        <w:rPr>
          <w:rFonts w:ascii="Arial" w:eastAsia="Calibri" w:hAnsi="Arial" w:cs="Arial"/>
          <w:color w:val="404040"/>
          <w:lang w:val="es-HN"/>
        </w:rPr>
      </w:pPr>
      <w:r w:rsidRPr="002A4850">
        <w:rPr>
          <w:rFonts w:ascii="Arial" w:eastAsia="Calibri" w:hAnsi="Arial" w:cs="Arial"/>
          <w:color w:val="404040"/>
          <w:lang w:val="es-HN"/>
        </w:rPr>
        <w:t>Las visitas domiciliarias, clubes de embarazadas y estrategias de movilización comunitaria lograron cambios en actitudes hacia la lactancia materna, la higiene, la vacunación oportuna y la prevención de enfermedades.</w:t>
      </w:r>
    </w:p>
    <w:p w14:paraId="2F2BD297" w14:textId="77777777" w:rsidR="00971002" w:rsidRPr="002A4850" w:rsidRDefault="00971002" w:rsidP="00971002">
      <w:pPr>
        <w:spacing w:line="259" w:lineRule="auto"/>
        <w:jc w:val="both"/>
        <w:rPr>
          <w:rFonts w:ascii="Arial" w:eastAsia="Calibri" w:hAnsi="Arial" w:cs="Arial"/>
          <w:color w:val="404040"/>
          <w:lang w:val="es-HN"/>
        </w:rPr>
      </w:pPr>
      <w:r w:rsidRPr="002A4850">
        <w:rPr>
          <w:rFonts w:ascii="Arial" w:eastAsia="Calibri" w:hAnsi="Arial" w:cs="Arial"/>
          <w:color w:val="404040"/>
          <w:lang w:val="es-HN"/>
        </w:rPr>
        <w:t>Estos resultados demuestran la eficacia de la estrategia comunitaria basada en voluntarios, aunque la evaluación señaló desafíos para asegurar cobertura universal, formación suficiente en derechos y género, y sostenibilidad de la motivación de los voluntarios.</w:t>
      </w:r>
    </w:p>
    <w:p w14:paraId="3F3ACA04" w14:textId="77777777" w:rsidR="00971002" w:rsidRPr="002A4850" w:rsidRDefault="00971002" w:rsidP="00971002">
      <w:pPr>
        <w:spacing w:line="259" w:lineRule="auto"/>
        <w:jc w:val="both"/>
        <w:rPr>
          <w:rFonts w:ascii="Arial" w:eastAsia="Calibri" w:hAnsi="Arial" w:cs="Arial"/>
          <w:color w:val="404040"/>
          <w:lang w:val="es-HN"/>
        </w:rPr>
      </w:pPr>
    </w:p>
    <w:p w14:paraId="4D64C927" w14:textId="77777777" w:rsidR="00971002" w:rsidRPr="002A4850" w:rsidRDefault="00971002" w:rsidP="00971002">
      <w:pPr>
        <w:keepNext/>
        <w:keepLines/>
        <w:numPr>
          <w:ilvl w:val="1"/>
          <w:numId w:val="0"/>
        </w:numPr>
        <w:spacing w:before="40" w:after="0" w:line="259" w:lineRule="auto"/>
        <w:ind w:left="720"/>
        <w:jc w:val="both"/>
        <w:outlineLvl w:val="1"/>
        <w:rPr>
          <w:rFonts w:ascii="Calibri" w:eastAsia="Yu Gothic Light" w:hAnsi="Calibri" w:cs="Times New Roman"/>
          <w:b/>
          <w:color w:val="002060"/>
          <w:lang w:val="es-HN"/>
        </w:rPr>
      </w:pPr>
      <w:r w:rsidRPr="002A4850">
        <w:rPr>
          <w:rFonts w:ascii="Calibri" w:eastAsia="Yu Gothic Light" w:hAnsi="Calibri" w:cs="Times New Roman"/>
          <w:b/>
          <w:color w:val="002060"/>
          <w:lang w:val="es-HN"/>
        </w:rPr>
        <w:t xml:space="preserve"> </w:t>
      </w:r>
      <w:bookmarkStart w:id="2" w:name="_Toc203118796"/>
      <w:r w:rsidRPr="002A4850">
        <w:rPr>
          <w:rFonts w:ascii="Calibri" w:eastAsia="Yu Gothic Light" w:hAnsi="Calibri" w:cs="Times New Roman"/>
          <w:b/>
          <w:color w:val="002060"/>
          <w:lang w:val="es-HN"/>
        </w:rPr>
        <w:t>Provisión de servicios integrales a través de la Ruta Integral de Prestaciones de Servicio (RIPS)</w:t>
      </w:r>
      <w:bookmarkEnd w:id="2"/>
    </w:p>
    <w:p w14:paraId="2E85C4DF" w14:textId="77777777" w:rsidR="00971002" w:rsidRPr="002A4850" w:rsidRDefault="00971002" w:rsidP="00971002">
      <w:pPr>
        <w:spacing w:line="259" w:lineRule="auto"/>
        <w:jc w:val="both"/>
        <w:rPr>
          <w:rFonts w:ascii="Arial" w:eastAsia="Calibri" w:hAnsi="Arial" w:cs="Arial"/>
          <w:color w:val="404040"/>
          <w:lang w:val="es-HN"/>
        </w:rPr>
      </w:pPr>
      <w:r w:rsidRPr="002A4850">
        <w:rPr>
          <w:rFonts w:ascii="Arial" w:eastAsia="Calibri" w:hAnsi="Arial" w:cs="Arial"/>
          <w:color w:val="404040"/>
          <w:lang w:val="es-HN"/>
        </w:rPr>
        <w:t>En materia de acceso a servicios esenciales, se constatan progresos tangibles:</w:t>
      </w:r>
    </w:p>
    <w:p w14:paraId="5CDE6179" w14:textId="77777777" w:rsidR="00971002" w:rsidRPr="002A4850" w:rsidRDefault="00971002" w:rsidP="00971002">
      <w:pPr>
        <w:numPr>
          <w:ilvl w:val="0"/>
          <w:numId w:val="2"/>
        </w:numPr>
        <w:spacing w:line="259" w:lineRule="auto"/>
        <w:contextualSpacing/>
        <w:jc w:val="both"/>
        <w:rPr>
          <w:rFonts w:ascii="Arial" w:eastAsia="Calibri" w:hAnsi="Arial" w:cs="Arial"/>
          <w:color w:val="404040"/>
          <w:lang w:val="es-HN"/>
        </w:rPr>
      </w:pPr>
      <w:r w:rsidRPr="002A4850">
        <w:rPr>
          <w:rFonts w:ascii="Arial" w:eastAsia="Calibri" w:hAnsi="Arial" w:cs="Arial"/>
          <w:color w:val="404040"/>
          <w:lang w:val="es-HN"/>
        </w:rPr>
        <w:t>Se fortaleció la articulación intersectorial para ofrecer salud, nutrición, educación, protección, recreación y registro civil a las niñas y niños menores de seis años y a mujeres gestantes.</w:t>
      </w:r>
    </w:p>
    <w:p w14:paraId="5A4E3D37" w14:textId="77777777" w:rsidR="00971002" w:rsidRPr="002A4850" w:rsidRDefault="00971002" w:rsidP="00971002">
      <w:pPr>
        <w:numPr>
          <w:ilvl w:val="0"/>
          <w:numId w:val="2"/>
        </w:numPr>
        <w:spacing w:line="259" w:lineRule="auto"/>
        <w:contextualSpacing/>
        <w:jc w:val="both"/>
        <w:rPr>
          <w:rFonts w:ascii="Arial" w:eastAsia="Calibri" w:hAnsi="Arial" w:cs="Arial"/>
          <w:color w:val="404040"/>
          <w:lang w:val="es-HN"/>
        </w:rPr>
      </w:pPr>
      <w:r w:rsidRPr="002A4850">
        <w:rPr>
          <w:rFonts w:ascii="Arial" w:eastAsia="Calibri" w:hAnsi="Arial" w:cs="Arial"/>
          <w:color w:val="404040"/>
          <w:lang w:val="es-HN"/>
        </w:rPr>
        <w:t>Mejoraron los indicadores clave en salud materno-infantil, vacunación y nutrición, aunque persisten desafíos en áreas como agua segura, recreación y atención a la discapacidad.</w:t>
      </w:r>
    </w:p>
    <w:p w14:paraId="068F5428" w14:textId="77777777" w:rsidR="00971002" w:rsidRPr="002A4850" w:rsidRDefault="00971002" w:rsidP="00971002">
      <w:pPr>
        <w:numPr>
          <w:ilvl w:val="0"/>
          <w:numId w:val="2"/>
        </w:numPr>
        <w:spacing w:line="259" w:lineRule="auto"/>
        <w:contextualSpacing/>
        <w:jc w:val="both"/>
        <w:rPr>
          <w:rFonts w:ascii="Arial" w:eastAsia="Calibri" w:hAnsi="Arial" w:cs="Arial"/>
          <w:color w:val="404040"/>
          <w:lang w:val="es-HN"/>
        </w:rPr>
      </w:pPr>
      <w:r w:rsidRPr="002A4850">
        <w:rPr>
          <w:rFonts w:ascii="Arial" w:eastAsia="Calibri" w:hAnsi="Arial" w:cs="Arial"/>
          <w:color w:val="404040"/>
          <w:lang w:val="es-HN"/>
        </w:rPr>
        <w:t>Se consolidaron equipos técnicos en territorio y voluntarios comunitarios, con protocolos unificados para visitas y derivaciones.</w:t>
      </w:r>
    </w:p>
    <w:p w14:paraId="439C2898" w14:textId="1052AF23" w:rsidR="00971002" w:rsidRPr="002A4850" w:rsidRDefault="00971002" w:rsidP="00971002">
      <w:pPr>
        <w:spacing w:line="259" w:lineRule="auto"/>
        <w:jc w:val="both"/>
        <w:rPr>
          <w:rFonts w:ascii="Arial" w:eastAsia="Calibri" w:hAnsi="Arial" w:cs="Arial"/>
          <w:color w:val="404040"/>
          <w:lang w:val="es-HN"/>
        </w:rPr>
      </w:pPr>
      <w:r w:rsidRPr="002A4850">
        <w:rPr>
          <w:rFonts w:ascii="Arial" w:eastAsia="Calibri" w:hAnsi="Arial" w:cs="Arial"/>
          <w:color w:val="404040"/>
          <w:lang w:val="es-HN"/>
        </w:rPr>
        <w:t>La estrategia mostró mayor éxito en los componentes ya consolidados en el sector salud, pero menor desarrollo en las dimensiones de protección, educación inicial y recreación.</w:t>
      </w:r>
    </w:p>
    <w:p w14:paraId="58CE338C" w14:textId="48C3A789" w:rsidR="00971002" w:rsidRPr="002A4850" w:rsidRDefault="00971002" w:rsidP="00971002">
      <w:pPr>
        <w:spacing w:line="259" w:lineRule="auto"/>
        <w:jc w:val="both"/>
        <w:rPr>
          <w:rFonts w:ascii="Arial" w:eastAsia="Calibri" w:hAnsi="Arial" w:cs="Arial"/>
          <w:color w:val="404040"/>
          <w:lang w:val="es-HN"/>
        </w:rPr>
      </w:pPr>
    </w:p>
    <w:p w14:paraId="799C6403" w14:textId="62367D78" w:rsidR="00971002" w:rsidRPr="002A4850" w:rsidRDefault="00971002" w:rsidP="00971002">
      <w:pPr>
        <w:keepNext/>
        <w:keepLines/>
        <w:numPr>
          <w:ilvl w:val="1"/>
          <w:numId w:val="0"/>
        </w:numPr>
        <w:spacing w:before="40" w:after="0" w:line="259" w:lineRule="auto"/>
        <w:ind w:left="720"/>
        <w:jc w:val="both"/>
        <w:outlineLvl w:val="1"/>
        <w:rPr>
          <w:rFonts w:ascii="Calibri" w:eastAsia="Yu Gothic Light" w:hAnsi="Calibri" w:cs="Times New Roman"/>
          <w:b/>
          <w:color w:val="002060"/>
          <w:lang w:val="es-HN"/>
        </w:rPr>
      </w:pPr>
      <w:r w:rsidRPr="002A4850">
        <w:rPr>
          <w:rFonts w:ascii="Calibri" w:eastAsia="Yu Gothic Light" w:hAnsi="Calibri" w:cs="Times New Roman"/>
          <w:b/>
          <w:color w:val="002060"/>
          <w:lang w:val="es-HN"/>
        </w:rPr>
        <w:t xml:space="preserve"> </w:t>
      </w:r>
      <w:bookmarkStart w:id="3" w:name="_Toc203118797"/>
      <w:r w:rsidRPr="002A4850">
        <w:rPr>
          <w:rFonts w:ascii="Calibri" w:eastAsia="Yu Gothic Light" w:hAnsi="Calibri" w:cs="Times New Roman"/>
          <w:b/>
          <w:color w:val="002060"/>
          <w:lang w:val="es-HN"/>
        </w:rPr>
        <w:t>Fortalecimiento de capacidades institucionales y gobernanza local</w:t>
      </w:r>
      <w:bookmarkEnd w:id="3"/>
    </w:p>
    <w:p w14:paraId="7FB5C557" w14:textId="3A90DE27" w:rsidR="00971002" w:rsidRPr="002A4850" w:rsidRDefault="00971002" w:rsidP="00971002">
      <w:pPr>
        <w:spacing w:line="259" w:lineRule="auto"/>
        <w:jc w:val="both"/>
        <w:rPr>
          <w:rFonts w:ascii="Arial" w:eastAsia="Calibri" w:hAnsi="Arial" w:cs="Arial"/>
          <w:color w:val="404040"/>
          <w:lang w:val="es-HN"/>
        </w:rPr>
      </w:pPr>
    </w:p>
    <w:p w14:paraId="7B609D5A" w14:textId="07E1DD57" w:rsidR="00971002" w:rsidRPr="002A4850" w:rsidRDefault="00971002" w:rsidP="00971002">
      <w:pPr>
        <w:spacing w:line="259" w:lineRule="auto"/>
        <w:jc w:val="both"/>
        <w:rPr>
          <w:rFonts w:ascii="Arial" w:eastAsia="Calibri" w:hAnsi="Arial" w:cs="Arial"/>
          <w:color w:val="404040"/>
          <w:lang w:val="es-HN"/>
        </w:rPr>
      </w:pPr>
      <w:r w:rsidRPr="002A4850">
        <w:rPr>
          <w:rFonts w:ascii="Arial" w:eastAsia="Calibri" w:hAnsi="Arial" w:cs="Arial"/>
          <w:color w:val="404040"/>
          <w:lang w:val="es-HN"/>
        </w:rPr>
        <w:t>La evaluación destaca la instalación de mecanismos institucionales en los niveles nacional, departamental y municipal:</w:t>
      </w:r>
    </w:p>
    <w:p w14:paraId="4481848D" w14:textId="7EF50B9F" w:rsidR="00971002" w:rsidRPr="002A4850" w:rsidRDefault="00193B09" w:rsidP="00971002">
      <w:pPr>
        <w:numPr>
          <w:ilvl w:val="0"/>
          <w:numId w:val="3"/>
        </w:numPr>
        <w:spacing w:line="259" w:lineRule="auto"/>
        <w:contextualSpacing/>
        <w:jc w:val="both"/>
        <w:rPr>
          <w:rFonts w:ascii="Arial" w:eastAsia="Calibri" w:hAnsi="Arial" w:cs="Arial"/>
          <w:color w:val="404040"/>
          <w:lang w:val="es-HN"/>
        </w:rPr>
      </w:pPr>
      <w:r>
        <w:rPr>
          <w:rFonts w:ascii="Arial" w:eastAsia="Calibri" w:hAnsi="Arial" w:cs="Arial"/>
          <w:noProof/>
          <w:color w:val="404040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8F562CD" wp14:editId="32E29C04">
                <wp:simplePos x="0" y="0"/>
                <wp:positionH relativeFrom="column">
                  <wp:posOffset>3973830</wp:posOffset>
                </wp:positionH>
                <wp:positionV relativeFrom="paragraph">
                  <wp:posOffset>329725</wp:posOffset>
                </wp:positionV>
                <wp:extent cx="2287905" cy="1986280"/>
                <wp:effectExtent l="0" t="0" r="10795" b="7620"/>
                <wp:wrapTight wrapText="bothSides">
                  <wp:wrapPolygon edited="0">
                    <wp:start x="0" y="0"/>
                    <wp:lineTo x="0" y="21545"/>
                    <wp:lineTo x="21582" y="21545"/>
                    <wp:lineTo x="21582" y="0"/>
                    <wp:lineTo x="0" y="0"/>
                  </wp:wrapPolygon>
                </wp:wrapTight>
                <wp:docPr id="60098742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7905" cy="198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7BA93B" w14:textId="1635743A" w:rsidR="00E112D9" w:rsidRPr="00E112D9" w:rsidRDefault="00E112D9">
                            <w:pPr>
                              <w:rPr>
                                <w:lang w:val="es-ES_tradnl"/>
                              </w:rPr>
                            </w:pPr>
                            <w:hyperlink r:id="rId9" w:history="1">
                              <w:r w:rsidRPr="002A4850">
                                <w:rPr>
                                  <w:rStyle w:val="Hipervnculo"/>
                                  <w:lang w:val="es-ES_tradnl"/>
                                </w:rPr>
                                <w:t>QR – EVALUACIÓN SCC 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562C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312.9pt;margin-top:25.95pt;width:180.15pt;height:156.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" fillcolor="white [3201]" strokeweight=".5pt">
                <v:textbox>
                  <w:txbxContent>
                    <w:p w14:paraId="7E7BA93B" w14:textId="1635743A" w:rsidR="00E112D9" w:rsidRPr="00E112D9" w:rsidRDefault="00E112D9">
                      <w:pPr>
                        <w:rPr>
                          <w:lang w:val="es-ES_tradnl"/>
                        </w:rPr>
                      </w:pPr>
                      <w:hyperlink r:id="rId10" w:history="1">
                        <w:r w:rsidRPr="002A4850">
                          <w:rPr>
                            <w:rStyle w:val="Hipervnculo"/>
                            <w:lang w:val="es-ES_tradnl"/>
                          </w:rPr>
                          <w:t>QR – EVALUACIÓN SCC A</w:t>
                        </w:r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  <w:r w:rsidR="00971002" w:rsidRPr="002A4850">
        <w:rPr>
          <w:rFonts w:ascii="Arial" w:eastAsia="Calibri" w:hAnsi="Arial" w:cs="Arial"/>
          <w:color w:val="404040"/>
          <w:lang w:val="es-HN"/>
        </w:rPr>
        <w:t>Se crearon y fortalecieron Consejos y Mesas Municipales de Primera Infancia, que formularon diagnósticos y planes de acción locales.</w:t>
      </w:r>
    </w:p>
    <w:p w14:paraId="37C6DCA1" w14:textId="46498FA5" w:rsidR="00971002" w:rsidRPr="002A4850" w:rsidRDefault="00971002" w:rsidP="00971002">
      <w:pPr>
        <w:numPr>
          <w:ilvl w:val="0"/>
          <w:numId w:val="3"/>
        </w:numPr>
        <w:spacing w:line="259" w:lineRule="auto"/>
        <w:contextualSpacing/>
        <w:jc w:val="both"/>
        <w:rPr>
          <w:rFonts w:ascii="Arial" w:eastAsia="Calibri" w:hAnsi="Arial" w:cs="Arial"/>
          <w:color w:val="404040"/>
          <w:lang w:val="es-HN"/>
        </w:rPr>
      </w:pPr>
      <w:r w:rsidRPr="002A4850">
        <w:rPr>
          <w:rFonts w:ascii="Arial" w:eastAsia="Calibri" w:hAnsi="Arial" w:cs="Arial"/>
          <w:color w:val="404040"/>
          <w:lang w:val="es-HN"/>
        </w:rPr>
        <w:t>Se avanzó en la construcción de un sistema de monitoreo con indicadores básicos, aunque aún no está plenamente desarrollado un sistema nominal intersectorial.</w:t>
      </w:r>
    </w:p>
    <w:p w14:paraId="630AEA4C" w14:textId="7A4CD864" w:rsidR="00971002" w:rsidRPr="002A4850" w:rsidRDefault="00971002" w:rsidP="00971002">
      <w:pPr>
        <w:numPr>
          <w:ilvl w:val="0"/>
          <w:numId w:val="3"/>
        </w:numPr>
        <w:spacing w:line="259" w:lineRule="auto"/>
        <w:contextualSpacing/>
        <w:jc w:val="both"/>
        <w:rPr>
          <w:rFonts w:ascii="Arial" w:eastAsia="Calibri" w:hAnsi="Arial" w:cs="Arial"/>
          <w:color w:val="404040"/>
          <w:lang w:val="es-HN"/>
        </w:rPr>
      </w:pPr>
      <w:r w:rsidRPr="002A4850">
        <w:rPr>
          <w:rFonts w:ascii="Arial" w:eastAsia="Calibri" w:hAnsi="Arial" w:cs="Arial"/>
          <w:color w:val="404040"/>
          <w:lang w:val="es-HN"/>
        </w:rPr>
        <w:t>Se promovió la articulación interinstitucional y comunitaria, mejorando la planificación y la asignación parcial de recursos locales.</w:t>
      </w:r>
    </w:p>
    <w:p w14:paraId="34CB4F56" w14:textId="5CD802B6" w:rsidR="00971002" w:rsidRPr="002A4850" w:rsidRDefault="00971002" w:rsidP="00971002">
      <w:pPr>
        <w:spacing w:line="259" w:lineRule="auto"/>
        <w:jc w:val="both"/>
        <w:rPr>
          <w:rFonts w:ascii="Arial" w:eastAsia="Calibri" w:hAnsi="Arial" w:cs="Arial"/>
          <w:color w:val="404040"/>
          <w:lang w:val="es-HN"/>
        </w:rPr>
      </w:pPr>
      <w:r w:rsidRPr="002A4850">
        <w:rPr>
          <w:rFonts w:ascii="Arial" w:eastAsia="Calibri" w:hAnsi="Arial" w:cs="Arial"/>
          <w:color w:val="404040"/>
          <w:lang w:val="es-HN"/>
        </w:rPr>
        <w:t>A pesar de estos logros, persisten limitaciones en la institucionalización plena del sistema, con marcos normativos incompletos, recursos financieros limitados y una alta dependencia del liderazgo político local y nacional.</w:t>
      </w:r>
    </w:p>
    <w:p w14:paraId="76AF5507" w14:textId="41BCBB63" w:rsidR="00971002" w:rsidRPr="002A4850" w:rsidRDefault="00971002" w:rsidP="00971002">
      <w:pPr>
        <w:spacing w:line="259" w:lineRule="auto"/>
        <w:jc w:val="both"/>
        <w:rPr>
          <w:rFonts w:ascii="Arial" w:eastAsia="Calibri" w:hAnsi="Arial" w:cs="Arial"/>
          <w:color w:val="404040"/>
          <w:lang w:val="es-HN"/>
        </w:rPr>
      </w:pPr>
      <w:r w:rsidRPr="002A4850">
        <w:rPr>
          <w:rFonts w:ascii="Arial" w:eastAsia="Calibri" w:hAnsi="Arial" w:cs="Arial"/>
          <w:color w:val="404040"/>
          <w:lang w:val="es-HN"/>
        </w:rPr>
        <w:t>El modelo ha demostrado ser pertinente, bien aceptado por las comunidades y efectivo en inducir cambios positivos en las familias y los servicios. La estrategia de enfoque comunitario, a través de voluntarios y facilitadores, resultó clave para su éxito inicial. No obstante, se identifican retos relevantes: institucionalizar las prácticas y marcos legales, diversificar la atención más allá del sector salud, garantizar financiamiento sostenido y fortalecer los enfoques de derechos, género e inclusión.</w:t>
      </w:r>
    </w:p>
    <w:p w14:paraId="3F5DF5FD" w14:textId="6C95E995" w:rsidR="00971002" w:rsidRPr="00971002" w:rsidRDefault="00971002" w:rsidP="00971002">
      <w:pPr>
        <w:spacing w:line="259" w:lineRule="auto"/>
        <w:jc w:val="both"/>
        <w:rPr>
          <w:rFonts w:ascii="Arial" w:eastAsia="Calibri" w:hAnsi="Arial" w:cs="Arial"/>
          <w:color w:val="404040"/>
          <w:sz w:val="22"/>
          <w:szCs w:val="22"/>
        </w:rPr>
      </w:pPr>
    </w:p>
    <w:p w14:paraId="12B2BBE9" w14:textId="733FB0F1" w:rsidR="00971002" w:rsidRPr="00971002" w:rsidRDefault="00971002" w:rsidP="00971002">
      <w:pPr>
        <w:spacing w:line="259" w:lineRule="auto"/>
        <w:jc w:val="both"/>
        <w:rPr>
          <w:rFonts w:ascii="Arial" w:eastAsia="Calibri" w:hAnsi="Arial" w:cs="Arial"/>
          <w:color w:val="404040"/>
          <w:sz w:val="22"/>
          <w:szCs w:val="22"/>
        </w:rPr>
      </w:pPr>
    </w:p>
    <w:p w14:paraId="657C3E42" w14:textId="3A317294" w:rsidR="00AC7844" w:rsidRPr="00971002" w:rsidRDefault="00AC7844"/>
    <w:sectPr w:rsidR="00AC7844" w:rsidRPr="009710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6BDCC5" w14:textId="77777777" w:rsidR="00917442" w:rsidRDefault="00917442" w:rsidP="004D2F80">
      <w:pPr>
        <w:spacing w:after="0" w:line="240" w:lineRule="auto"/>
      </w:pPr>
      <w:r>
        <w:separator/>
      </w:r>
    </w:p>
  </w:endnote>
  <w:endnote w:type="continuationSeparator" w:id="0">
    <w:p w14:paraId="7B1B6D6F" w14:textId="77777777" w:rsidR="00917442" w:rsidRDefault="00917442" w:rsidP="004D2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Next Ultra Light">
    <w:panose1 w:val="020B0203020202020204"/>
    <w:charset w:val="4D"/>
    <w:family w:val="swiss"/>
    <w:pitch w:val="variable"/>
    <w:sig w:usb0="800000AF" w:usb1="5000204A" w:usb2="00000000" w:usb3="00000000" w:csb0="0000009B" w:csb1="00000000"/>
  </w:font>
  <w:font w:name="Avenir Next LT Pro Light">
    <w:panose1 w:val="020B0304020202020204"/>
    <w:charset w:val="4D"/>
    <w:family w:val="swiss"/>
    <w:pitch w:val="variable"/>
    <w:sig w:usb0="A00000EF" w:usb1="5000204B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6E3CB7" w14:textId="77777777" w:rsidR="00917442" w:rsidRDefault="00917442" w:rsidP="004D2F80">
      <w:pPr>
        <w:spacing w:after="0" w:line="240" w:lineRule="auto"/>
      </w:pPr>
      <w:r>
        <w:separator/>
      </w:r>
    </w:p>
  </w:footnote>
  <w:footnote w:type="continuationSeparator" w:id="0">
    <w:p w14:paraId="1CB4AEE3" w14:textId="77777777" w:rsidR="00917442" w:rsidRDefault="00917442" w:rsidP="004D2F80">
      <w:pPr>
        <w:spacing w:after="0" w:line="240" w:lineRule="auto"/>
      </w:pPr>
      <w:r>
        <w:continuationSeparator/>
      </w:r>
    </w:p>
  </w:footnote>
  <w:footnote w:id="1">
    <w:p w14:paraId="63795572" w14:textId="77777777" w:rsidR="00193B09" w:rsidRDefault="004D2F80" w:rsidP="00193B09">
      <w:pPr>
        <w:pStyle w:val="p1"/>
        <w:jc w:val="both"/>
      </w:pPr>
      <w:r>
        <w:rPr>
          <w:rStyle w:val="Refdenotaalpie"/>
        </w:rPr>
        <w:footnoteRef/>
      </w:r>
      <w:r>
        <w:t xml:space="preserve"> </w:t>
      </w:r>
      <w:r w:rsidR="00193B09" w:rsidRPr="00193B09">
        <w:rPr>
          <w:i/>
          <w:iCs/>
          <w:sz w:val="21"/>
          <w:szCs w:val="21"/>
        </w:rPr>
        <w:t>La evaluación externa realizada al modelo SCCA corresponde a una versión anterior del mismo. No obstante, la mayoría de sus estrategias y componentes se mantienen vigentes en la versión actual, en coherencia con la naturaleza dinámica y evolutiva de los modelos programáticos. Esta continuidad permite aprovechar los hallazgos y aprendizajes generados, reconociendo al mismo tiempo los ajustes y mejoras incorporados en su desarrollo más reciente</w:t>
      </w:r>
    </w:p>
    <w:p w14:paraId="59F06682" w14:textId="40CFDCFE" w:rsidR="004D2F80" w:rsidRPr="00193B09" w:rsidRDefault="004D2F80">
      <w:pPr>
        <w:pStyle w:val="Textonotapie"/>
        <w:rPr>
          <w:lang w:val="es-US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03CB7"/>
    <w:multiLevelType w:val="multilevel"/>
    <w:tmpl w:val="E83252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CD46AB"/>
    <w:multiLevelType w:val="multilevel"/>
    <w:tmpl w:val="E83252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871440"/>
    <w:multiLevelType w:val="hybridMultilevel"/>
    <w:tmpl w:val="04C430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0287922">
    <w:abstractNumId w:val="2"/>
  </w:num>
  <w:num w:numId="2" w16cid:durableId="1382316877">
    <w:abstractNumId w:val="1"/>
  </w:num>
  <w:num w:numId="3" w16cid:durableId="18992441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002"/>
    <w:rsid w:val="000A67E4"/>
    <w:rsid w:val="00193B09"/>
    <w:rsid w:val="00213779"/>
    <w:rsid w:val="00245C7B"/>
    <w:rsid w:val="002A4850"/>
    <w:rsid w:val="002F2881"/>
    <w:rsid w:val="00454AF2"/>
    <w:rsid w:val="004D2F80"/>
    <w:rsid w:val="00581B8B"/>
    <w:rsid w:val="00744D9F"/>
    <w:rsid w:val="00747087"/>
    <w:rsid w:val="007D2570"/>
    <w:rsid w:val="00907788"/>
    <w:rsid w:val="00917442"/>
    <w:rsid w:val="00971002"/>
    <w:rsid w:val="009B7554"/>
    <w:rsid w:val="009C02BC"/>
    <w:rsid w:val="00AC7844"/>
    <w:rsid w:val="00B318FD"/>
    <w:rsid w:val="00B745B0"/>
    <w:rsid w:val="00B80E50"/>
    <w:rsid w:val="00C7075E"/>
    <w:rsid w:val="00D700E3"/>
    <w:rsid w:val="00E112D9"/>
    <w:rsid w:val="00E356D3"/>
    <w:rsid w:val="00F30597"/>
    <w:rsid w:val="0ABC8E13"/>
    <w:rsid w:val="532D4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1D107"/>
  <w15:chartTrackingRefBased/>
  <w15:docId w15:val="{734C5848-35BD-874D-A2C4-DA6B15307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002"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AC7844"/>
    <w:pPr>
      <w:keepNext/>
      <w:keepLines/>
      <w:pBdr>
        <w:top w:val="double" w:sz="4" w:space="1" w:color="0F9ED5" w:themeColor="accent4"/>
        <w:left w:val="double" w:sz="4" w:space="4" w:color="0F9ED5" w:themeColor="accent4"/>
        <w:bottom w:val="double" w:sz="4" w:space="1" w:color="0F9ED5" w:themeColor="accent4"/>
        <w:right w:val="double" w:sz="4" w:space="4" w:color="0F9ED5" w:themeColor="accent4"/>
      </w:pBdr>
      <w:spacing w:before="240" w:after="0" w:line="360" w:lineRule="auto"/>
      <w:jc w:val="center"/>
      <w:outlineLvl w:val="0"/>
    </w:pPr>
    <w:rPr>
      <w:rFonts w:eastAsiaTheme="majorEastAsia" w:cs="Times New Roman"/>
      <w:b/>
      <w:noProof/>
      <w:color w:val="00B0F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710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10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10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10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10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10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10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10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C7844"/>
    <w:rPr>
      <w:rFonts w:eastAsiaTheme="majorEastAsia" w:cs="Times New Roman"/>
      <w:b/>
      <w:noProof/>
      <w:color w:val="00B0F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10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10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100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100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100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100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100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100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710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710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710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710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710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7100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7100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7100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710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7100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71002"/>
    <w:rPr>
      <w:b/>
      <w:bCs/>
      <w:smallCaps/>
      <w:color w:val="0F4761" w:themeColor="accent1" w:themeShade="BF"/>
      <w:spacing w:val="5"/>
    </w:rPr>
  </w:style>
  <w:style w:type="character" w:styleId="Refdecomentario">
    <w:name w:val="annotation reference"/>
    <w:basedOn w:val="Fuentedeprrafopredeter"/>
    <w:uiPriority w:val="99"/>
    <w:semiHidden/>
    <w:unhideWhenUsed/>
    <w:rsid w:val="0097100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71002"/>
    <w:pPr>
      <w:spacing w:line="240" w:lineRule="auto"/>
      <w:jc w:val="both"/>
    </w:pPr>
    <w:rPr>
      <w:rFonts w:ascii="Arial" w:hAnsi="Arial"/>
      <w:color w:val="404040"/>
      <w:sz w:val="20"/>
      <w:szCs w:val="20"/>
      <w:lang w:val="es-HN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71002"/>
    <w:rPr>
      <w:rFonts w:ascii="Arial" w:hAnsi="Arial"/>
      <w:color w:val="404040"/>
      <w:sz w:val="20"/>
      <w:szCs w:val="20"/>
      <w:lang w:val="es-HN"/>
    </w:rPr>
  </w:style>
  <w:style w:type="character" w:styleId="Hipervnculo">
    <w:name w:val="Hyperlink"/>
    <w:basedOn w:val="Fuentedeprrafopredeter"/>
    <w:uiPriority w:val="99"/>
    <w:unhideWhenUsed/>
    <w:rsid w:val="002A4850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4850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D2F8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D2F8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D2F80"/>
    <w:rPr>
      <w:vertAlign w:val="superscript"/>
    </w:rPr>
  </w:style>
  <w:style w:type="paragraph" w:customStyle="1" w:styleId="p1">
    <w:name w:val="p1"/>
    <w:basedOn w:val="Normal"/>
    <w:rsid w:val="00193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s-US" w:eastAsia="es-MX"/>
      <w14:ligatures w14:val="none"/>
    </w:rPr>
  </w:style>
  <w:style w:type="paragraph" w:styleId="Encabezado">
    <w:name w:val="header"/>
    <w:basedOn w:val="Normal"/>
    <w:link w:val="EncabezadoCar"/>
    <w:uiPriority w:val="99"/>
    <w:semiHidden/>
    <w:unhideWhenUsed/>
    <w:rsid w:val="00B318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318FD"/>
  </w:style>
  <w:style w:type="paragraph" w:styleId="Piedepgina">
    <w:name w:val="footer"/>
    <w:basedOn w:val="Normal"/>
    <w:link w:val="PiedepginaCar"/>
    <w:uiPriority w:val="99"/>
    <w:semiHidden/>
    <w:unhideWhenUsed/>
    <w:rsid w:val="00B318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318FD"/>
  </w:style>
  <w:style w:type="character" w:customStyle="1" w:styleId="s1">
    <w:name w:val="s1"/>
    <w:basedOn w:val="Fuentedeprrafopredeter"/>
    <w:rsid w:val="00B745B0"/>
  </w:style>
  <w:style w:type="paragraph" w:customStyle="1" w:styleId="p2">
    <w:name w:val="p2"/>
    <w:basedOn w:val="Normal"/>
    <w:rsid w:val="00B74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s-US" w:eastAsia="es-MX"/>
      <w14:ligatures w14:val="none"/>
    </w:rPr>
  </w:style>
  <w:style w:type="table" w:styleId="Tablaconcuadrcula1clara">
    <w:name w:val="Grid Table 1 Light"/>
    <w:basedOn w:val="Tablanormal"/>
    <w:uiPriority w:val="46"/>
    <w:rsid w:val="00B80E5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clara">
    <w:name w:val="Grid Table Light"/>
    <w:basedOn w:val="Tablanormal"/>
    <w:uiPriority w:val="40"/>
    <w:rsid w:val="00B80E5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6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unicef-my.sharepoint.com/:b:/g/personal/jaguilar_unicef_org1/ESP2JO1DhNVNpX_uBvFj_dAB2vhS2nL3kIiIxAF6B3lJvw?e=j3Tte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nicef-my.sharepoint.com/:b:/g/personal/jaguilar_unicef_org1/ESP2JO1DhNVNpX_uBvFj_dAB2vhS2nL3kIiIxAF6B3lJvw?e=j3Ttec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 Version="16"/>
</file>

<file path=customXml/itemProps1.xml><?xml version="1.0" encoding="utf-8"?>
<ds:datastoreItem xmlns:ds="http://schemas.openxmlformats.org/officeDocument/2006/customXml" ds:itemID="{97A0081B-79C7-E241-BA88-197B7DC4F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855</Words>
  <Characters>4703</Characters>
  <Application>Microsoft Office Word</Application>
  <DocSecurity>0</DocSecurity>
  <Lines>39</Lines>
  <Paragraphs>11</Paragraphs>
  <ScaleCrop>false</ScaleCrop>
  <Company/>
  <LinksUpToDate>false</LinksUpToDate>
  <CharactersWithSpaces>5547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Luis Aguilar Martínez</dc:creator>
  <cp:keywords/>
  <dc:description/>
  <cp:lastModifiedBy>Jorge Luis Aguilar Martinez</cp:lastModifiedBy>
  <cp:revision>14</cp:revision>
  <dcterms:created xsi:type="dcterms:W3CDTF">2025-07-28T20:53:00Z</dcterms:created>
  <dcterms:modified xsi:type="dcterms:W3CDTF">2025-09-16T11:50:00Z</dcterms:modified>
</cp:coreProperties>
</file>